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55"/>
        <w:gridCol w:w="5196"/>
        <w:gridCol w:w="193"/>
        <w:gridCol w:w="118"/>
        <w:gridCol w:w="409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8D5138A" w:rsidR="00093CA9" w:rsidRDefault="001E7268" w:rsidP="00093CA9">
            <w:r>
              <w:t>JSA Advocates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ABAF893" w:rsidR="00093CA9" w:rsidRDefault="00811610" w:rsidP="00093CA9">
            <w:r w:rsidRPr="00811610">
              <w:t>Framework for Sovereign Green Bonds (“</w:t>
            </w:r>
            <w:r w:rsidRPr="00AC3AA3">
              <w:rPr>
                <w:b/>
                <w:bCs/>
              </w:rPr>
              <w:t>Green Bonds Framework</w:t>
            </w:r>
            <w:r w:rsidRPr="00811610">
              <w:t>”)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C96230A" w:rsidR="00093CA9" w:rsidRDefault="002D6AE9" w:rsidP="00093CA9">
            <w:hyperlink r:id="rId17" w:history="1">
              <w:r w:rsidRPr="00D21D4B">
                <w:rPr>
                  <w:rStyle w:val="Hyperlink"/>
                </w:rPr>
                <w:t>https://web.archive.org/web/20250708122459/https://www.pib.gov.in/PressReleaseIframePage.aspx?PRID=1874788</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F37F54A" w:rsidR="00093CA9" w:rsidRDefault="00811610"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DF39FA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489574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415BBB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0C9E416"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55B63653" w14:textId="77777777" w:rsidR="007320BF" w:rsidRDefault="007320BF" w:rsidP="007320BF">
            <w:pPr>
              <w:jc w:val="both"/>
            </w:pPr>
            <w:r>
              <w:t>The Framework for Sovereign Green Bonds (“Green Bonds Framework”) is a disclosure-based policy instrument issued by the Government of India to guide the issuance of Sovereign Green Bonds (SGrBs) for financing public sector projects that contribute to reducing the carbon intensity of the Indian economy.</w:t>
            </w:r>
          </w:p>
          <w:p w14:paraId="535CE7F5" w14:textId="77777777" w:rsidR="007320BF" w:rsidRDefault="007320BF" w:rsidP="007320BF">
            <w:pPr>
              <w:jc w:val="both"/>
            </w:pPr>
            <w:r>
              <w:t>The Framework aligns with the International Capital Market Association (ICMA) Green Bond Principles (2021) and is structured around four core components:</w:t>
            </w:r>
          </w:p>
          <w:p w14:paraId="2E3B8609" w14:textId="77777777" w:rsidR="007320BF" w:rsidRDefault="007320BF" w:rsidP="007320BF">
            <w:pPr>
              <w:jc w:val="both"/>
            </w:pPr>
            <w:r>
              <w:t>a) Use of Proceeds,</w:t>
            </w:r>
          </w:p>
          <w:p w14:paraId="3C91CD8E" w14:textId="77777777" w:rsidR="007320BF" w:rsidRDefault="007320BF" w:rsidP="007320BF">
            <w:pPr>
              <w:jc w:val="both"/>
            </w:pPr>
            <w:r>
              <w:t>b) Project Evaluation and Selection,</w:t>
            </w:r>
          </w:p>
          <w:p w14:paraId="40878299" w14:textId="77777777" w:rsidR="007320BF" w:rsidRDefault="007320BF" w:rsidP="007320BF">
            <w:pPr>
              <w:jc w:val="both"/>
            </w:pPr>
            <w:r>
              <w:t>c) Management of Proceeds, and</w:t>
            </w:r>
          </w:p>
          <w:p w14:paraId="29AA0266" w14:textId="77777777" w:rsidR="007320BF" w:rsidRDefault="007320BF" w:rsidP="007320BF">
            <w:pPr>
              <w:jc w:val="both"/>
            </w:pPr>
            <w:r>
              <w:t>d) Reporting.</w:t>
            </w:r>
          </w:p>
          <w:p w14:paraId="5483C740" w14:textId="77777777" w:rsidR="007320BF" w:rsidRDefault="007320BF" w:rsidP="007320BF">
            <w:pPr>
              <w:jc w:val="both"/>
            </w:pPr>
            <w:r>
              <w:t>The Framework requires pre- and post-issuance disclosures, including annual allocation and environmental impact reports, and provides for independent verification of project selection and fund utilisation.</w:t>
            </w:r>
          </w:p>
          <w:p w14:paraId="18257824" w14:textId="62AB1DF2" w:rsidR="00093CA9" w:rsidRDefault="007320BF" w:rsidP="00AC3AA3">
            <w:pPr>
              <w:jc w:val="both"/>
            </w:pPr>
            <w:r>
              <w:t>It is relevant to the Climate-Related Disclosure domain, as it establishes mechanisms for disclosing how green bond proceeds are allocated and what environmental outcomes are achieved.</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383C48F" w:rsidR="00093CA9" w:rsidRDefault="00EB75B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5E791F1" w:rsidR="00093CA9" w:rsidRPr="00173D7C" w:rsidRDefault="00EB75B2"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C58B0BE" w:rsidR="00093CA9" w:rsidRPr="00173D7C" w:rsidRDefault="007B18FC"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9A8B729" w:rsidR="00093CA9" w:rsidRDefault="0094445E" w:rsidP="00093CA9">
            <w:r w:rsidRPr="0094445E">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A5B4C6D" w:rsidR="00093CA9" w:rsidRPr="006B7B0D" w:rsidRDefault="00896AEF" w:rsidP="00093CA9">
            <w:r w:rsidRPr="00896AEF">
              <w:t>Department of Economic Affairs (DEA), Ministry of Finance, Government of India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3978D77" w:rsidR="00093CA9" w:rsidRPr="006B7B0D" w:rsidRDefault="002336BB" w:rsidP="00AC3AA3">
            <w:pPr>
              <w:jc w:val="both"/>
            </w:pPr>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A6B0608" w:rsidR="00093CA9" w:rsidRPr="006B7B0D" w:rsidRDefault="002336BB" w:rsidP="00093CA9">
            <w:r>
              <w:t>NA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2568444" w:rsidR="00093CA9" w:rsidRPr="006B7B0D" w:rsidRDefault="002336BB" w:rsidP="00093CA9">
            <w:r>
              <w:t>NA</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3C4044E" w:rsidR="00093CA9" w:rsidRPr="006B7B0D" w:rsidRDefault="002336BB" w:rsidP="00093CA9">
            <w:r>
              <w:t>NA</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3AC467C" w:rsidR="00093CA9" w:rsidRDefault="002336BB" w:rsidP="00AC3AA3">
            <w:pPr>
              <w:jc w:val="both"/>
            </w:pPr>
            <w:r w:rsidRPr="002336BB">
              <w:t xml:space="preserve">The Department of Economic Affairs (DEA), Ministry of Finance is the designated authority responsible for overseeing the implementation of the Sovereign Green Bonds Framework. The DEA is assessed to have high institutional and technical capacity, having successfully led India’s inaugural sovereign green bond issuances in 2023. It coordinates with the Reserve Bank of India </w:t>
            </w:r>
            <w:r w:rsidRPr="002336BB">
              <w:lastRenderedPageBreak/>
              <w:t xml:space="preserve">(RBI) for issuance and </w:t>
            </w:r>
            <w:proofErr w:type="gramStart"/>
            <w:r w:rsidRPr="002336BB">
              <w:t>deployment, and</w:t>
            </w:r>
            <w:proofErr w:type="gramEnd"/>
            <w:r w:rsidRPr="002336BB">
              <w:t xml:space="preserve"> has constituted a Green Finance Working Committee (GFWC) to support inter-ministerial evaluation, fund allocation, and impact reporting. The DEA has aligned the Framework with international standards, including the ICMA Green Bond Principles, and established protocols for monitoring, disclosure, and verification.</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71B5119" w:rsidR="00093CA9" w:rsidRDefault="005D26A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8846AD6" w14:textId="47D6DDCB" w:rsidR="005778D8" w:rsidRPr="005778D8" w:rsidRDefault="005778D8" w:rsidP="00AC3AA3">
            <w:pPr>
              <w:keepNext/>
              <w:jc w:val="both"/>
              <w:rPr>
                <w:color w:val="000000" w:themeColor="text1"/>
              </w:rPr>
            </w:pPr>
            <w:r w:rsidRPr="005778D8">
              <w:rPr>
                <w:color w:val="000000" w:themeColor="text1"/>
              </w:rPr>
              <w:t>Yes, the Framework includes robust monitoring systems to ensure transparency and accountability in implementation. As per Section 2.4: Reporting of the Sovereign Green Bonds Framework, the Government of India will publish:</w:t>
            </w:r>
          </w:p>
          <w:p w14:paraId="21EDEC7F" w14:textId="02FBCEDE" w:rsidR="005778D8" w:rsidRPr="00AC3AA3" w:rsidRDefault="005778D8" w:rsidP="00AC3AA3">
            <w:pPr>
              <w:pStyle w:val="ListParagraph"/>
              <w:keepNext/>
              <w:numPr>
                <w:ilvl w:val="0"/>
                <w:numId w:val="50"/>
              </w:numPr>
              <w:jc w:val="both"/>
              <w:rPr>
                <w:color w:val="000000" w:themeColor="text1"/>
              </w:rPr>
            </w:pPr>
            <w:r w:rsidRPr="00AC3AA3">
              <w:rPr>
                <w:color w:val="000000" w:themeColor="text1"/>
              </w:rPr>
              <w:t>Annual Allocation Reports detailing the allocation of proceeds to eligible green projects, status of implementation, and unallocated proceeds.</w:t>
            </w:r>
          </w:p>
          <w:p w14:paraId="0B9FA664" w14:textId="16C3B7F3" w:rsidR="005778D8" w:rsidRPr="00AC3AA3" w:rsidRDefault="005778D8" w:rsidP="00AC3AA3">
            <w:pPr>
              <w:pStyle w:val="ListParagraph"/>
              <w:keepNext/>
              <w:numPr>
                <w:ilvl w:val="0"/>
                <w:numId w:val="50"/>
              </w:numPr>
              <w:jc w:val="both"/>
              <w:rPr>
                <w:color w:val="000000" w:themeColor="text1"/>
              </w:rPr>
            </w:pPr>
            <w:r w:rsidRPr="00AC3AA3">
              <w:rPr>
                <w:color w:val="000000" w:themeColor="text1"/>
              </w:rPr>
              <w:t>Impact Reports assessing environmental outcomes such as reduction in carbon emissions or energy savings, with relevant indicators (e.g., GHG emissions avoided, renewable energy capacity added).</w:t>
            </w:r>
          </w:p>
          <w:p w14:paraId="065AE8B8" w14:textId="2A545713" w:rsidR="005778D8" w:rsidRPr="005778D8" w:rsidRDefault="005778D8" w:rsidP="00AC3AA3">
            <w:pPr>
              <w:keepNext/>
              <w:jc w:val="both"/>
              <w:rPr>
                <w:color w:val="000000" w:themeColor="text1"/>
              </w:rPr>
            </w:pPr>
            <w:r w:rsidRPr="005778D8">
              <w:rPr>
                <w:color w:val="000000" w:themeColor="text1"/>
              </w:rPr>
              <w:t>Additionally, the GFWC, chaired by the Chief Economic Adviser, is tasked with supervising the allocation of proceeds and ensuring all allocations are completed within 24 months of issuance (Section 2.2).</w:t>
            </w:r>
          </w:p>
          <w:p w14:paraId="2C2128DB" w14:textId="0741A5FC" w:rsidR="00093CA9" w:rsidRPr="008017F9" w:rsidRDefault="005778D8" w:rsidP="00AC3AA3">
            <w:pPr>
              <w:keepNext/>
              <w:jc w:val="both"/>
              <w:rPr>
                <w:color w:val="000000" w:themeColor="text1"/>
              </w:rPr>
            </w:pPr>
            <w:r w:rsidRPr="005778D8">
              <w:rPr>
                <w:color w:val="000000" w:themeColor="text1"/>
              </w:rPr>
              <w:t>External post-issuance verification is also envisaged under Section 3.2 to ensure the credibility of reported outcomes.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rsidRPr="00E7625A">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415F91D" w:rsidR="00CF5268" w:rsidRDefault="00274154"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BB1933C" w:rsidR="00CF5268" w:rsidRDefault="00274154"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49F2BD22" w:rsidR="00CF5268" w:rsidRDefault="00274154"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A50FBDE" w:rsidR="00CF5268" w:rsidRDefault="00274154"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3D5DF206" w:rsidR="00CF5268" w:rsidRDefault="00274154"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03219B3F" w:rsidR="466E435B" w:rsidRDefault="00274154"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6E6DD820" w:rsidR="00CF5268" w:rsidRDefault="00274154"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39011871" w:rsidR="466E435B" w:rsidRDefault="466E435B" w:rsidP="00DD3144"/>
        </w:tc>
        <w:tc>
          <w:tcPr>
            <w:tcW w:w="1447" w:type="dxa"/>
            <w:vAlign w:val="center"/>
          </w:tcPr>
          <w:p w14:paraId="7D630605" w14:textId="1B8B685C" w:rsidR="466E435B" w:rsidRDefault="00253F3E" w:rsidP="00DD3144">
            <w:r>
              <w:t>X</w:t>
            </w:r>
          </w:p>
        </w:tc>
        <w:tc>
          <w:tcPr>
            <w:tcW w:w="1447" w:type="dxa"/>
            <w:vAlign w:val="center"/>
          </w:tcPr>
          <w:p w14:paraId="78F26697" w14:textId="4C6361EE"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BAB614A" w:rsidR="466E435B" w:rsidRDefault="004F3E9F"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591C0F29" w:rsidR="466E435B" w:rsidRDefault="004F3E9F"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415B77AB" w:rsidR="466E435B" w:rsidRDefault="00274154"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B68722E" w:rsidR="00CF5268" w:rsidRDefault="00274154"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3C8DFED3" w:rsidR="00CF5268" w:rsidRDefault="00274154"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3BBA4638" w:rsidR="0039223F" w:rsidRDefault="002336BB" w:rsidP="00DD3144">
            <w:r>
              <w:t>NA</w:t>
            </w:r>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C3AA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0378FF4D" w:rsidR="00524D54" w:rsidRPr="003577A4" w:rsidRDefault="00524D54" w:rsidP="00AC3AA3">
            <w:pPr>
              <w:jc w:val="both"/>
            </w:pP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53E6E11F"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2BDC87FE" w:rsidR="009F5822" w:rsidRDefault="002336BB" w:rsidP="00DD3144">
            <w:r>
              <w:t>NA</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3DE01F5D" w:rsidR="00911F20" w:rsidRDefault="00355D4B"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2A856A3F" w:rsidR="009C4798" w:rsidRDefault="002336BB" w:rsidP="00DD3144">
            <w:r>
              <w:t>NA</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00A477D6" w:rsidR="00C57511" w:rsidRPr="00FA0CF8" w:rsidRDefault="00253F3E"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269BD8BE" w14:textId="77777777" w:rsidR="00253F3E" w:rsidRPr="00253F3E" w:rsidRDefault="00253F3E" w:rsidP="00AC3AA3">
            <w:pPr>
              <w:spacing w:line="276" w:lineRule="auto"/>
              <w:jc w:val="both"/>
              <w:rPr>
                <w:color w:val="000000" w:themeColor="text1"/>
              </w:rPr>
            </w:pPr>
            <w:r w:rsidRPr="00253F3E">
              <w:rPr>
                <w:color w:val="000000" w:themeColor="text1"/>
              </w:rPr>
              <w:t>Yes. The Sovereign Green Bonds Framework, notified by the Government of India on November 9, 2022, is under active implementation:</w:t>
            </w:r>
          </w:p>
          <w:p w14:paraId="1D042D94" w14:textId="77777777" w:rsidR="00253F3E" w:rsidRPr="00AC3AA3" w:rsidRDefault="00253F3E" w:rsidP="00AC3AA3">
            <w:pPr>
              <w:pStyle w:val="ListParagraph"/>
              <w:numPr>
                <w:ilvl w:val="0"/>
                <w:numId w:val="51"/>
              </w:numPr>
              <w:spacing w:line="276" w:lineRule="auto"/>
              <w:jc w:val="both"/>
              <w:rPr>
                <w:color w:val="000000" w:themeColor="text1"/>
              </w:rPr>
            </w:pPr>
            <w:r w:rsidRPr="00AC3AA3">
              <w:rPr>
                <w:color w:val="000000" w:themeColor="text1"/>
              </w:rPr>
              <w:t>Issuances: Three tranches of Sovereign Green Bonds have been issued—INR 80 billion on January 25, 2023, INR 80 billion on February 9, 2023, and INR 50 billion on December 3, 2024—through the Reserve Bank of India.</w:t>
            </w:r>
          </w:p>
          <w:p w14:paraId="17966C72" w14:textId="77777777" w:rsidR="00253F3E" w:rsidRPr="00AC3AA3" w:rsidRDefault="00253F3E" w:rsidP="00AC3AA3">
            <w:pPr>
              <w:pStyle w:val="ListParagraph"/>
              <w:numPr>
                <w:ilvl w:val="0"/>
                <w:numId w:val="51"/>
              </w:numPr>
              <w:spacing w:line="276" w:lineRule="auto"/>
              <w:jc w:val="both"/>
              <w:rPr>
                <w:color w:val="000000" w:themeColor="text1"/>
              </w:rPr>
            </w:pPr>
            <w:r w:rsidRPr="00AC3AA3">
              <w:rPr>
                <w:color w:val="000000" w:themeColor="text1"/>
              </w:rPr>
              <w:t>Application of Proceeds: Funds have been allocated to eligible green public sector projects, including renewable energy, clean transportation, water management, energy efficiency, and green buildings.</w:t>
            </w:r>
          </w:p>
          <w:p w14:paraId="7A457096" w14:textId="01EA83F8" w:rsidR="00253F3E" w:rsidRPr="00FC1931" w:rsidRDefault="00253F3E" w:rsidP="00AC3AA3">
            <w:pPr>
              <w:pStyle w:val="ListParagraph"/>
              <w:numPr>
                <w:ilvl w:val="0"/>
                <w:numId w:val="51"/>
              </w:numPr>
              <w:spacing w:line="276" w:lineRule="auto"/>
              <w:jc w:val="both"/>
              <w:rPr>
                <w:color w:val="000000" w:themeColor="text1"/>
              </w:rPr>
            </w:pPr>
            <w:r w:rsidRPr="00AC3AA3">
              <w:rPr>
                <w:color w:val="000000" w:themeColor="text1"/>
              </w:rPr>
              <w:t>Governance and Oversight: A Green Finance Working Committee (GFWC), chaired by the Chief Economic Adviser, evaluates and approves projects. The Ministry of Finance, in coordination with sectoral ministries (e.g., MoEFCC, MNRE), oversees compliance with the Framework.</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D790459" w:rsidR="00CB1649" w:rsidRPr="00FA0CF8" w:rsidRDefault="00120C86"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CD2C1F8" w:rsidR="008063B5" w:rsidRDefault="00BC4B0D"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43312826" w:rsidR="00042406" w:rsidRDefault="00042406" w:rsidP="00DD3144"/>
        </w:tc>
        <w:tc>
          <w:tcPr>
            <w:tcW w:w="1890" w:type="dxa"/>
            <w:vAlign w:val="center"/>
          </w:tcPr>
          <w:p w14:paraId="0D7B8554" w14:textId="6004BF14" w:rsidR="00042406" w:rsidRDefault="00253F3E"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42632BB6" w:rsidR="00042406" w:rsidRDefault="008252B2"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306A9ED2" w:rsidR="00042406" w:rsidRDefault="00042406" w:rsidP="00DD3144"/>
        </w:tc>
        <w:tc>
          <w:tcPr>
            <w:tcW w:w="1890" w:type="dxa"/>
            <w:vAlign w:val="center"/>
          </w:tcPr>
          <w:p w14:paraId="1D255A36" w14:textId="4489B21A" w:rsidR="00042406" w:rsidRDefault="009655DA"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5848977C" w:rsidR="00042406" w:rsidRDefault="00042406" w:rsidP="00DD3144"/>
        </w:tc>
        <w:tc>
          <w:tcPr>
            <w:tcW w:w="1890" w:type="dxa"/>
            <w:vAlign w:val="center"/>
          </w:tcPr>
          <w:p w14:paraId="02561B88" w14:textId="46E60832" w:rsidR="00042406" w:rsidRDefault="00FF50BB"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6B10B8B6" w:rsidR="00042406" w:rsidRDefault="00042406" w:rsidP="00DD3144"/>
        </w:tc>
        <w:tc>
          <w:tcPr>
            <w:tcW w:w="1890" w:type="dxa"/>
            <w:vAlign w:val="center"/>
          </w:tcPr>
          <w:p w14:paraId="64DEAA9D" w14:textId="26538E29" w:rsidR="00042406" w:rsidRDefault="00BA1242"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50F576BE" w:rsidR="00042406" w:rsidRDefault="008252B2"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25363E51" w:rsidR="00042406" w:rsidRDefault="008252B2"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4FDE08EE" w:rsidR="00931F08" w:rsidRDefault="00253F3E" w:rsidP="00AC3AA3">
            <w:pPr>
              <w:jc w:val="both"/>
            </w:pPr>
            <w:r>
              <w:t>NA</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1409651C"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4778A40F"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A3AB8D3"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39D16DA4"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3267F123"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589AAD4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40F61CF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3CC0FA1B" w:rsidR="00B0479E" w:rsidRDefault="00B0479E" w:rsidP="00AC3AA3">
            <w:pPr>
              <w:jc w:val="both"/>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lastRenderedPageBreak/>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lastRenderedPageBreak/>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lastRenderedPageBreak/>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lastRenderedPageBreak/>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lastRenderedPageBreak/>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4C592BF" w:rsidR="00DA416F" w:rsidRPr="00DD3144" w:rsidRDefault="007A6462"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A287A3A" w:rsidR="00DA416F" w:rsidRPr="00DD3144" w:rsidRDefault="007A6462"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19C7A22" w:rsidR="00DA416F" w:rsidRPr="00DD3144" w:rsidRDefault="007A6462"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1B5844" w:rsidR="00DA416F" w:rsidRPr="00DD3144" w:rsidRDefault="007A6462"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440BC34F" w:rsidR="00DA416F" w:rsidRPr="00DD3144" w:rsidRDefault="007A6462"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D06F998" w:rsidR="00DA416F" w:rsidRPr="00DD3144" w:rsidRDefault="007A6462"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DF0F1F8" w:rsidR="00DA416F" w:rsidRPr="00DD3144" w:rsidRDefault="007A6462"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5DB6ED0" w:rsidR="00DA416F" w:rsidRPr="00DD3144" w:rsidRDefault="007A6462"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6E7C7AE" w:rsidR="00DA416F" w:rsidRPr="00DD3144" w:rsidRDefault="007A6462"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12D6414" w:rsidR="00DA416F" w:rsidRPr="00DD3144" w:rsidRDefault="007A6462"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47890D8" w:rsidR="00DA416F" w:rsidRPr="00DD3144" w:rsidRDefault="007A6462"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BD9D32C" w:rsidR="00DA416F" w:rsidRPr="00DD3144" w:rsidRDefault="007A6462"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0C91FB3" w:rsidR="00DA416F" w:rsidRPr="00DD3144" w:rsidRDefault="007A6462"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296D0B73" w:rsidR="00DA416F" w:rsidRPr="00DD3144" w:rsidRDefault="004979E9"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689859D7" w:rsidR="004B1F6B" w:rsidRPr="00DD3144" w:rsidRDefault="004979E9" w:rsidP="00AC3AA3">
            <w:pPr>
              <w:jc w:val="both"/>
              <w:rPr>
                <w:rFonts w:ascii="Calibri" w:hAnsi="Calibri" w:cs="Calibri"/>
              </w:rPr>
            </w:pPr>
            <w:r w:rsidRPr="004979E9">
              <w:rPr>
                <w:rFonts w:ascii="Calibri" w:hAnsi="Calibri" w:cs="Calibri"/>
              </w:rPr>
              <w:t>India’s Sovereign Green Bonds will be aligned with the four components and key recommendations of the Green Bond Principles (2021) of the International Capital Market Association (ICMA).</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C3AA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C3AA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C3AA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C3AA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C3AA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719F9C" w14:textId="77777777" w:rsidR="006146CD" w:rsidRDefault="006146CD" w:rsidP="00874E39">
      <w:r>
        <w:separator/>
      </w:r>
    </w:p>
  </w:endnote>
  <w:endnote w:type="continuationSeparator" w:id="0">
    <w:p w14:paraId="2D63FAE6" w14:textId="77777777" w:rsidR="006146CD" w:rsidRDefault="006146CD" w:rsidP="00874E39">
      <w:r>
        <w:continuationSeparator/>
      </w:r>
    </w:p>
  </w:endnote>
  <w:endnote w:type="continuationNotice" w:id="1">
    <w:p w14:paraId="76365B78" w14:textId="77777777" w:rsidR="006146CD" w:rsidRDefault="006146C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7392BF" w14:textId="77777777" w:rsidR="006146CD" w:rsidRDefault="006146CD" w:rsidP="00874E39">
      <w:r>
        <w:separator/>
      </w:r>
    </w:p>
  </w:footnote>
  <w:footnote w:type="continuationSeparator" w:id="0">
    <w:p w14:paraId="43D112B0" w14:textId="77777777" w:rsidR="006146CD" w:rsidRDefault="006146CD" w:rsidP="00874E39">
      <w:r>
        <w:continuationSeparator/>
      </w:r>
    </w:p>
  </w:footnote>
  <w:footnote w:type="continuationNotice" w:id="1">
    <w:p w14:paraId="52D2D525" w14:textId="77777777" w:rsidR="006146CD" w:rsidRDefault="006146C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3754039"/>
    <w:multiLevelType w:val="hybridMultilevel"/>
    <w:tmpl w:val="031A76EC"/>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A1B1356"/>
    <w:multiLevelType w:val="hybridMultilevel"/>
    <w:tmpl w:val="16621DD8"/>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A948EE"/>
    <w:multiLevelType w:val="hybridMultilevel"/>
    <w:tmpl w:val="3AE00926"/>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7"/>
  </w:num>
  <w:num w:numId="25" w16cid:durableId="1659531047">
    <w:abstractNumId w:val="46"/>
  </w:num>
  <w:num w:numId="26" w16cid:durableId="752774403">
    <w:abstractNumId w:val="23"/>
  </w:num>
  <w:num w:numId="27" w16cid:durableId="347872198">
    <w:abstractNumId w:val="6"/>
  </w:num>
  <w:num w:numId="28" w16cid:durableId="537133110">
    <w:abstractNumId w:val="12"/>
  </w:num>
  <w:num w:numId="29" w16cid:durableId="1632318729">
    <w:abstractNumId w:val="48"/>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6"/>
  </w:num>
  <w:num w:numId="48" w16cid:durableId="318391343">
    <w:abstractNumId w:val="37"/>
  </w:num>
  <w:num w:numId="49" w16cid:durableId="1869175991">
    <w:abstractNumId w:val="17"/>
  </w:num>
  <w:num w:numId="50" w16cid:durableId="822817003">
    <w:abstractNumId w:val="45"/>
  </w:num>
  <w:num w:numId="51" w16cid:durableId="647711557">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2CAB"/>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0C86"/>
    <w:rsid w:val="001221BA"/>
    <w:rsid w:val="00122504"/>
    <w:rsid w:val="00122733"/>
    <w:rsid w:val="00123F5C"/>
    <w:rsid w:val="00124C48"/>
    <w:rsid w:val="00132429"/>
    <w:rsid w:val="00134550"/>
    <w:rsid w:val="00134681"/>
    <w:rsid w:val="00136F5B"/>
    <w:rsid w:val="00137257"/>
    <w:rsid w:val="00137BB2"/>
    <w:rsid w:val="00140A55"/>
    <w:rsid w:val="00140BD0"/>
    <w:rsid w:val="00141D8E"/>
    <w:rsid w:val="00142B76"/>
    <w:rsid w:val="00145138"/>
    <w:rsid w:val="001457F8"/>
    <w:rsid w:val="00146B77"/>
    <w:rsid w:val="001470A9"/>
    <w:rsid w:val="0014741A"/>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275A"/>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268"/>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6BB"/>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3F3E"/>
    <w:rsid w:val="0025449C"/>
    <w:rsid w:val="002552C9"/>
    <w:rsid w:val="0025765F"/>
    <w:rsid w:val="00257732"/>
    <w:rsid w:val="00264CBC"/>
    <w:rsid w:val="0026588F"/>
    <w:rsid w:val="0026642F"/>
    <w:rsid w:val="002679A5"/>
    <w:rsid w:val="0027067C"/>
    <w:rsid w:val="00270A4D"/>
    <w:rsid w:val="00272D9A"/>
    <w:rsid w:val="002737EF"/>
    <w:rsid w:val="00274154"/>
    <w:rsid w:val="00274335"/>
    <w:rsid w:val="00274864"/>
    <w:rsid w:val="00274B22"/>
    <w:rsid w:val="00277FC5"/>
    <w:rsid w:val="002818E7"/>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AE9"/>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489"/>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37FE6"/>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D4B"/>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5FED"/>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52C"/>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9E9"/>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6697"/>
    <w:rsid w:val="004F0C55"/>
    <w:rsid w:val="004F276F"/>
    <w:rsid w:val="004F3E9F"/>
    <w:rsid w:val="004F48E8"/>
    <w:rsid w:val="004F5354"/>
    <w:rsid w:val="00501550"/>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190"/>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778D8"/>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26AC"/>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6CD"/>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7289"/>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0BF"/>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666"/>
    <w:rsid w:val="00783F69"/>
    <w:rsid w:val="0078610D"/>
    <w:rsid w:val="007866CF"/>
    <w:rsid w:val="00786AC9"/>
    <w:rsid w:val="00786EC4"/>
    <w:rsid w:val="007913D0"/>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462"/>
    <w:rsid w:val="007A6D5E"/>
    <w:rsid w:val="007A725A"/>
    <w:rsid w:val="007A746E"/>
    <w:rsid w:val="007A7701"/>
    <w:rsid w:val="007B18FC"/>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2B2"/>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6AEF"/>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6ECA"/>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43C3"/>
    <w:rsid w:val="00926863"/>
    <w:rsid w:val="00926D7F"/>
    <w:rsid w:val="009307C9"/>
    <w:rsid w:val="0093086E"/>
    <w:rsid w:val="00931F08"/>
    <w:rsid w:val="00932230"/>
    <w:rsid w:val="00932ED3"/>
    <w:rsid w:val="0093344C"/>
    <w:rsid w:val="009338F2"/>
    <w:rsid w:val="00933F3C"/>
    <w:rsid w:val="00934657"/>
    <w:rsid w:val="009370E9"/>
    <w:rsid w:val="00937D9B"/>
    <w:rsid w:val="00940E65"/>
    <w:rsid w:val="0094115B"/>
    <w:rsid w:val="0094445E"/>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5DA"/>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15B"/>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1A1"/>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576"/>
    <w:rsid w:val="00AA38F6"/>
    <w:rsid w:val="00AA4965"/>
    <w:rsid w:val="00AA6DDB"/>
    <w:rsid w:val="00AB0830"/>
    <w:rsid w:val="00AB2CCC"/>
    <w:rsid w:val="00AB4F2C"/>
    <w:rsid w:val="00AB64F8"/>
    <w:rsid w:val="00AC3AA3"/>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242"/>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0D6A"/>
    <w:rsid w:val="00BB3989"/>
    <w:rsid w:val="00BB44CD"/>
    <w:rsid w:val="00BB58AA"/>
    <w:rsid w:val="00BB667C"/>
    <w:rsid w:val="00BB7964"/>
    <w:rsid w:val="00BC0309"/>
    <w:rsid w:val="00BC1037"/>
    <w:rsid w:val="00BC2F0B"/>
    <w:rsid w:val="00BC3206"/>
    <w:rsid w:val="00BC3D62"/>
    <w:rsid w:val="00BC4832"/>
    <w:rsid w:val="00BC4B0D"/>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C5E"/>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3AE"/>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68C"/>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25A"/>
    <w:rsid w:val="00E76F8F"/>
    <w:rsid w:val="00E81727"/>
    <w:rsid w:val="00E8221C"/>
    <w:rsid w:val="00E83D9D"/>
    <w:rsid w:val="00E83E48"/>
    <w:rsid w:val="00E850A4"/>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5B2"/>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931"/>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0BB"/>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1166333">
      <w:bodyDiv w:val="1"/>
      <w:marLeft w:val="0"/>
      <w:marRight w:val="0"/>
      <w:marTop w:val="0"/>
      <w:marBottom w:val="0"/>
      <w:divBdr>
        <w:top w:val="none" w:sz="0" w:space="0" w:color="auto"/>
        <w:left w:val="none" w:sz="0" w:space="0" w:color="auto"/>
        <w:bottom w:val="none" w:sz="0" w:space="0" w:color="auto"/>
        <w:right w:val="none" w:sz="0" w:space="0" w:color="auto"/>
      </w:divBdr>
    </w:div>
    <w:div w:id="1121417608">
      <w:bodyDiv w:val="1"/>
      <w:marLeft w:val="0"/>
      <w:marRight w:val="0"/>
      <w:marTop w:val="0"/>
      <w:marBottom w:val="0"/>
      <w:divBdr>
        <w:top w:val="none" w:sz="0" w:space="0" w:color="auto"/>
        <w:left w:val="none" w:sz="0" w:space="0" w:color="auto"/>
        <w:bottom w:val="none" w:sz="0" w:space="0" w:color="auto"/>
        <w:right w:val="none" w:sz="0" w:space="0" w:color="auto"/>
      </w:divBdr>
    </w:div>
    <w:div w:id="1181898736">
      <w:bodyDiv w:val="1"/>
      <w:marLeft w:val="0"/>
      <w:marRight w:val="0"/>
      <w:marTop w:val="0"/>
      <w:marBottom w:val="0"/>
      <w:divBdr>
        <w:top w:val="none" w:sz="0" w:space="0" w:color="auto"/>
        <w:left w:val="none" w:sz="0" w:space="0" w:color="auto"/>
        <w:bottom w:val="none" w:sz="0" w:space="0" w:color="auto"/>
        <w:right w:val="none" w:sz="0" w:space="0" w:color="auto"/>
      </w:divBdr>
    </w:div>
    <w:div w:id="119881617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51885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1982557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22459/https://www.pib.gov.in/PressReleaseIframePage.aspx?PRID=1874788"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112</Pages>
  <Words>22326</Words>
  <Characters>127263</Characters>
  <Application>Microsoft Office Word</Application>
  <DocSecurity>0</DocSecurity>
  <Lines>1060</Lines>
  <Paragraphs>298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Vihaan Pathak</cp:lastModifiedBy>
  <cp:revision>7</cp:revision>
  <cp:lastPrinted>2025-03-21T00:14:00Z</cp:lastPrinted>
  <dcterms:created xsi:type="dcterms:W3CDTF">2025-07-07T18:19:00Z</dcterms:created>
  <dcterms:modified xsi:type="dcterms:W3CDTF">2025-07-08T16:10:00Z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